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119A" w14:textId="77777777" w:rsidR="00A224F1" w:rsidRPr="00051AAB" w:rsidRDefault="00A224F1" w:rsidP="00051AA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2232"/>
        <w:gridCol w:w="3539"/>
      </w:tblGrid>
      <w:tr w:rsidR="00A224F1" w:rsidRPr="008771C1" w14:paraId="0095FB11" w14:textId="77777777" w:rsidTr="00A224F1">
        <w:tc>
          <w:tcPr>
            <w:tcW w:w="8856" w:type="dxa"/>
            <w:gridSpan w:val="3"/>
          </w:tcPr>
          <w:p w14:paraId="1E8C1F35" w14:textId="77777777" w:rsidR="00A224F1" w:rsidRPr="00A224F1" w:rsidRDefault="00A224F1" w:rsidP="00A224F1">
            <w:pPr>
              <w:rPr>
                <w:sz w:val="20"/>
                <w:szCs w:val="20"/>
                <w:lang w:val="uz-Cyrl-UZ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9A4C67">
              <w:rPr>
                <w:bCs/>
                <w:sz w:val="20"/>
                <w:szCs w:val="20"/>
                <w:lang w:val="uz-Cyrl-UZ"/>
              </w:rPr>
              <w:t>Владавина права на универзалном и регионалном плану</w:t>
            </w:r>
          </w:p>
        </w:tc>
      </w:tr>
      <w:tr w:rsidR="00A224F1" w:rsidRPr="00490ACB" w14:paraId="2618457E" w14:textId="77777777" w:rsidTr="00A224F1">
        <w:tc>
          <w:tcPr>
            <w:tcW w:w="8856" w:type="dxa"/>
            <w:gridSpan w:val="3"/>
          </w:tcPr>
          <w:p w14:paraId="14CD613E" w14:textId="77777777" w:rsidR="00A224F1" w:rsidRPr="00A224F1" w:rsidRDefault="00A224F1" w:rsidP="00DD0B5E">
            <w:pPr>
              <w:rPr>
                <w:bCs/>
                <w:sz w:val="20"/>
                <w:szCs w:val="20"/>
                <w:lang w:val="uz-Cyrl-UZ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>Наставник или наставници</w:t>
            </w:r>
            <w:r w:rsidRPr="00A224F1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A224F1">
              <w:rPr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A224F1">
              <w:rPr>
                <w:bCs/>
                <w:sz w:val="20"/>
                <w:szCs w:val="20"/>
                <w:lang w:val="ru-RU"/>
              </w:rPr>
              <w:t>презиме</w:t>
            </w:r>
            <w:proofErr w:type="spellEnd"/>
            <w:r w:rsidRPr="00A224F1">
              <w:rPr>
                <w:b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A224F1">
              <w:rPr>
                <w:bCs/>
                <w:sz w:val="20"/>
                <w:szCs w:val="20"/>
                <w:lang w:val="ru-RU"/>
              </w:rPr>
              <w:t>средње</w:t>
            </w:r>
            <w:proofErr w:type="spellEnd"/>
            <w:r w:rsidRPr="00A224F1">
              <w:rPr>
                <w:bCs/>
                <w:sz w:val="20"/>
                <w:szCs w:val="20"/>
                <w:lang w:val="ru-RU"/>
              </w:rPr>
              <w:t xml:space="preserve"> слово </w:t>
            </w:r>
            <w:proofErr w:type="spellStart"/>
            <w:r w:rsidRPr="00A224F1">
              <w:rPr>
                <w:bCs/>
                <w:sz w:val="20"/>
                <w:szCs w:val="20"/>
                <w:lang w:val="ru-RU"/>
              </w:rPr>
              <w:t>име</w:t>
            </w:r>
            <w:proofErr w:type="spellEnd"/>
            <w:r w:rsidRPr="00A224F1">
              <w:rPr>
                <w:bCs/>
                <w:sz w:val="20"/>
                <w:szCs w:val="20"/>
                <w:lang w:val="ru-RU"/>
              </w:rPr>
              <w:t>)</w:t>
            </w:r>
            <w:r w:rsidRPr="00A224F1">
              <w:rPr>
                <w:b/>
                <w:bCs/>
                <w:sz w:val="20"/>
                <w:szCs w:val="20"/>
                <w:lang w:val="sr-Cyrl-CS"/>
              </w:rPr>
              <w:t>:</w:t>
            </w:r>
            <w:r w:rsidRPr="00A224F1">
              <w:rPr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Pr="009A4C67">
              <w:rPr>
                <w:bCs/>
                <w:sz w:val="20"/>
                <w:szCs w:val="20"/>
                <w:lang w:val="uz-Cyrl-UZ"/>
              </w:rPr>
              <w:t xml:space="preserve">Кнежевић-Предић П. Весна, Самарџић Ј. Слободан, </w:t>
            </w:r>
            <w:r w:rsidR="008771C1">
              <w:rPr>
                <w:bCs/>
                <w:sz w:val="20"/>
                <w:szCs w:val="20"/>
                <w:lang w:val="uz-Cyrl-UZ"/>
              </w:rPr>
              <w:t xml:space="preserve">Данковић </w:t>
            </w:r>
            <w:r w:rsidRPr="009A4C67">
              <w:rPr>
                <w:bCs/>
                <w:sz w:val="20"/>
                <w:szCs w:val="20"/>
                <w:lang w:val="uz-Cyrl-UZ"/>
              </w:rPr>
              <w:t>Степановић М. Сања, Мишчевић Н. Тања</w:t>
            </w:r>
          </w:p>
        </w:tc>
      </w:tr>
      <w:tr w:rsidR="00A224F1" w:rsidRPr="00490ACB" w14:paraId="77A504B6" w14:textId="77777777" w:rsidTr="00A224F1">
        <w:tc>
          <w:tcPr>
            <w:tcW w:w="8856" w:type="dxa"/>
            <w:gridSpan w:val="3"/>
          </w:tcPr>
          <w:p w14:paraId="0C2EBA12" w14:textId="77777777" w:rsidR="00A224F1" w:rsidRPr="00A224F1" w:rsidRDefault="00A224F1" w:rsidP="00DD0B5E">
            <w:pPr>
              <w:rPr>
                <w:sz w:val="20"/>
                <w:szCs w:val="20"/>
                <w:lang w:val="uz-Cyrl-UZ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A224F1">
              <w:rPr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Pr="00A224F1">
              <w:rPr>
                <w:bCs/>
                <w:sz w:val="20"/>
                <w:szCs w:val="20"/>
                <w:lang w:val="uz-Cyrl-UZ"/>
              </w:rPr>
              <w:t>Изборни</w:t>
            </w:r>
          </w:p>
        </w:tc>
      </w:tr>
      <w:tr w:rsidR="00A224F1" w:rsidRPr="00490ACB" w14:paraId="34115885" w14:textId="77777777" w:rsidTr="00A224F1">
        <w:tc>
          <w:tcPr>
            <w:tcW w:w="8856" w:type="dxa"/>
            <w:gridSpan w:val="3"/>
          </w:tcPr>
          <w:p w14:paraId="10B2BD35" w14:textId="77777777" w:rsidR="00A224F1" w:rsidRPr="00A224F1" w:rsidRDefault="00A224F1" w:rsidP="00DD0B5E">
            <w:pPr>
              <w:rPr>
                <w:sz w:val="20"/>
                <w:szCs w:val="20"/>
                <w:lang w:val="uz-Cyrl-UZ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A224F1">
              <w:rPr>
                <w:b/>
                <w:bCs/>
                <w:sz w:val="20"/>
                <w:szCs w:val="20"/>
                <w:lang w:val="ru-RU"/>
              </w:rPr>
              <w:t>:</w:t>
            </w:r>
            <w:r w:rsidRPr="00A224F1">
              <w:rPr>
                <w:bCs/>
                <w:sz w:val="20"/>
                <w:szCs w:val="20"/>
                <w:lang w:val="sr-Latn-CS"/>
              </w:rPr>
              <w:t xml:space="preserve"> 1</w:t>
            </w:r>
            <w:r w:rsidRPr="00A224F1">
              <w:rPr>
                <w:bCs/>
                <w:sz w:val="20"/>
                <w:szCs w:val="20"/>
                <w:lang w:val="uz-Cyrl-UZ"/>
              </w:rPr>
              <w:t>0</w:t>
            </w:r>
          </w:p>
        </w:tc>
      </w:tr>
      <w:tr w:rsidR="00A224F1" w:rsidRPr="00490ACB" w14:paraId="2AEE33F5" w14:textId="77777777" w:rsidTr="00A224F1">
        <w:tc>
          <w:tcPr>
            <w:tcW w:w="8856" w:type="dxa"/>
            <w:gridSpan w:val="3"/>
          </w:tcPr>
          <w:p w14:paraId="187DBDFC" w14:textId="77777777" w:rsidR="00A224F1" w:rsidRPr="00A224F1" w:rsidRDefault="00A224F1" w:rsidP="00DD0B5E">
            <w:pPr>
              <w:rPr>
                <w:sz w:val="20"/>
                <w:szCs w:val="20"/>
                <w:lang w:val="ru-RU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>Услов</w:t>
            </w:r>
            <w:r w:rsidRPr="00A224F1">
              <w:rPr>
                <w:b/>
                <w:bCs/>
                <w:sz w:val="20"/>
                <w:szCs w:val="20"/>
                <w:lang w:val="ru-RU"/>
              </w:rPr>
              <w:t>:</w:t>
            </w:r>
          </w:p>
        </w:tc>
      </w:tr>
      <w:tr w:rsidR="00A224F1" w:rsidRPr="008771C1" w14:paraId="5015E1A7" w14:textId="77777777" w:rsidTr="00A224F1">
        <w:tc>
          <w:tcPr>
            <w:tcW w:w="8856" w:type="dxa"/>
            <w:gridSpan w:val="3"/>
          </w:tcPr>
          <w:p w14:paraId="0F4BF574" w14:textId="77777777" w:rsidR="00A224F1" w:rsidRPr="00A224F1" w:rsidRDefault="00A224F1" w:rsidP="00DD0B5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Latn-CS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0142680" w14:textId="77777777" w:rsidR="00A224F1" w:rsidRPr="00A224F1" w:rsidRDefault="00A224F1" w:rsidP="00A224F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lang w:val="sr-Cyrl-CS"/>
              </w:rPr>
            </w:pPr>
            <w:r w:rsidRPr="00A224F1">
              <w:rPr>
                <w:bCs/>
                <w:sz w:val="20"/>
                <w:szCs w:val="20"/>
                <w:lang w:val="sr-Latn-CS"/>
              </w:rPr>
              <w:t>Циљ предмета је изучавање примене и развоја начела владавине права у процесу регионалних и глобалних интеграција. Осим тога, циљ је и продубљивање познавања нормативног поре</w:t>
            </w:r>
            <w:r w:rsidRPr="00A224F1">
              <w:rPr>
                <w:bCs/>
                <w:sz w:val="20"/>
                <w:szCs w:val="20"/>
                <w:lang w:val="uz-Cyrl-UZ"/>
              </w:rPr>
              <w:t>т</w:t>
            </w:r>
            <w:r w:rsidRPr="00A224F1">
              <w:rPr>
                <w:bCs/>
                <w:sz w:val="20"/>
                <w:szCs w:val="20"/>
                <w:lang w:val="sr-Latn-CS"/>
              </w:rPr>
              <w:t>ка и доктрине у области правног регулисања заједничких јавних политика у Европској унији, међународним организацијама и партикуларним режимима различитих врста и домена примена.  Студенти овим стичу знања и способности за самосталан научноистраживачки рад у овим областима и могућност овладавања специфичним вештинама неопходним за практично деловање.</w:t>
            </w:r>
          </w:p>
        </w:tc>
      </w:tr>
      <w:tr w:rsidR="00A224F1" w:rsidRPr="008771C1" w14:paraId="025385DA" w14:textId="77777777" w:rsidTr="00A224F1">
        <w:tc>
          <w:tcPr>
            <w:tcW w:w="8856" w:type="dxa"/>
            <w:gridSpan w:val="3"/>
          </w:tcPr>
          <w:p w14:paraId="727EA5E5" w14:textId="77777777" w:rsidR="00A224F1" w:rsidRPr="00A224F1" w:rsidRDefault="00A224F1" w:rsidP="00DD0B5E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FAF4769" w14:textId="77777777" w:rsidR="00A224F1" w:rsidRPr="00A224F1" w:rsidRDefault="00A224F1" w:rsidP="00A224F1">
            <w:pPr>
              <w:jc w:val="both"/>
              <w:rPr>
                <w:bCs/>
                <w:sz w:val="20"/>
                <w:szCs w:val="20"/>
                <w:lang w:val="sr-Latn-CS"/>
              </w:rPr>
            </w:pPr>
            <w:r w:rsidRPr="00A224F1">
              <w:rPr>
                <w:bCs/>
                <w:sz w:val="20"/>
                <w:szCs w:val="20"/>
                <w:lang w:val="sr-Latn-CS"/>
              </w:rPr>
              <w:t>Савладавање материје која се изучава у оквиру предмета треба да код студената развије знање, вештине, способности и компетенције да: самостално решавају практичне и теоријске проблеме везане за владавину права на међународном и регионалном плану, организују и остварују развојна и научна истраживања; укључе се у међународне научне пројекте; критички посматрају постојеће механизме деловања владавине права и прате и предвиђају даље правце развоја; комуницирају на професионалном нивоу у саопштавању научно-истраживачких резултата на научним конференцијама, објављују у научним часописима; доприносе развоју научних дисциплина међународно јавно, међународно приватно и привредно право, међународне организације. Савладавање материје происходи темељним познавањем нормативног оквира и теоријске мисли овим областима знања, као и способношћу за повезивање усвојених знања са достигнућима  из сродних области.</w:t>
            </w:r>
          </w:p>
        </w:tc>
      </w:tr>
      <w:tr w:rsidR="00A224F1" w:rsidRPr="008771C1" w14:paraId="13C8927B" w14:textId="77777777" w:rsidTr="00A224F1">
        <w:tc>
          <w:tcPr>
            <w:tcW w:w="8856" w:type="dxa"/>
            <w:gridSpan w:val="3"/>
          </w:tcPr>
          <w:p w14:paraId="5942B5AA" w14:textId="77777777" w:rsidR="00A224F1" w:rsidRPr="00A224F1" w:rsidRDefault="00A224F1" w:rsidP="00DD0B5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z-Cyrl-UZ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F4020CF" w14:textId="77777777" w:rsidR="00A224F1" w:rsidRPr="00A224F1" w:rsidRDefault="00A224F1" w:rsidP="00A224F1">
            <w:pPr>
              <w:jc w:val="both"/>
              <w:rPr>
                <w:rFonts w:cs="Arial"/>
                <w:sz w:val="20"/>
                <w:szCs w:val="20"/>
                <w:lang w:val="uz-Cyrl-UZ"/>
              </w:rPr>
            </w:pP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Владавина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r w:rsidRPr="00A224F1">
              <w:rPr>
                <w:rFonts w:cs="Arial"/>
                <w:sz w:val="20"/>
                <w:szCs w:val="20"/>
                <w:lang w:val="ru-RU"/>
              </w:rPr>
              <w:t>права</w:t>
            </w:r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: </w:t>
            </w:r>
            <w:r w:rsidRPr="00A224F1">
              <w:rPr>
                <w:rFonts w:cs="Arial"/>
                <w:sz w:val="20"/>
                <w:szCs w:val="20"/>
                <w:lang w:val="ru-RU"/>
              </w:rPr>
              <w:t>концепт</w:t>
            </w:r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,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историјско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значење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, </w:t>
            </w:r>
            <w:r w:rsidRPr="00A224F1">
              <w:rPr>
                <w:rFonts w:cs="Arial"/>
                <w:sz w:val="20"/>
                <w:szCs w:val="20"/>
                <w:lang w:val="ru-RU"/>
              </w:rPr>
              <w:t>домен</w:t>
            </w:r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примене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r w:rsidRPr="00A224F1">
              <w:rPr>
                <w:rFonts w:cs="Arial"/>
                <w:sz w:val="20"/>
                <w:szCs w:val="20"/>
                <w:lang w:val="ru-RU"/>
              </w:rPr>
              <w:t>и</w:t>
            </w:r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r w:rsidRPr="00A224F1">
              <w:rPr>
                <w:rFonts w:cs="Arial"/>
                <w:sz w:val="20"/>
                <w:szCs w:val="20"/>
                <w:lang w:val="ru-RU"/>
              </w:rPr>
              <w:t>нормативно</w:t>
            </w:r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дејство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;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Порекло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идеје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владавине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r w:rsidRPr="00A224F1">
              <w:rPr>
                <w:rFonts w:cs="Arial"/>
                <w:sz w:val="20"/>
                <w:szCs w:val="20"/>
                <w:lang w:val="ru-RU"/>
              </w:rPr>
              <w:t>права</w:t>
            </w:r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– </w:t>
            </w:r>
            <w:r w:rsidRPr="00A224F1">
              <w:rPr>
                <w:rFonts w:cs="Arial"/>
                <w:sz w:val="20"/>
                <w:szCs w:val="20"/>
                <w:lang w:val="ru-RU"/>
              </w:rPr>
              <w:t>концепт</w:t>
            </w:r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управљања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унутрашњим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процесом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интеграције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(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држава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као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политичка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 xml:space="preserve"> </w:t>
            </w:r>
            <w:proofErr w:type="spellStart"/>
            <w:r w:rsidRPr="00A224F1">
              <w:rPr>
                <w:rFonts w:cs="Arial"/>
                <w:sz w:val="20"/>
                <w:szCs w:val="20"/>
                <w:lang w:val="ru-RU"/>
              </w:rPr>
              <w:t>заједница</w:t>
            </w:r>
            <w:proofErr w:type="spellEnd"/>
            <w:r w:rsidRPr="00A224F1">
              <w:rPr>
                <w:rFonts w:cs="Arial"/>
                <w:sz w:val="20"/>
                <w:szCs w:val="20"/>
                <w:lang w:val="uz-Cyrl-UZ"/>
              </w:rPr>
              <w:t>);  Правна правила и обичаји као референтни оквир међународне политике; Европска унија и владавина права: конституционализација уговорних начела и норми; Европска унија и владавина права: материјални домен примене; Европска унија и владавина права: домашај правосудне контроле (надлежност, активна и пасивна легитимација);  Остала искуства регионалних интеграција из угла владавине права; Процес претварање међународног права у универзално право – идеје, теорије, пракса; Владавина права на универзалном нивоу: Уједињене нације и владавина права; Владавина права: правностваралачки процес, имплементација и правосудна контрола; Владавина права и партикуларни међународни режими: партикуларизација в. универзализација; Владавина права у пословним односима: заштита иностраних улагања, конкуренције и интелектуалне својине;</w:t>
            </w:r>
          </w:p>
          <w:p w14:paraId="0A37A52E" w14:textId="77777777" w:rsidR="00A224F1" w:rsidRPr="009A4C67" w:rsidRDefault="00A224F1" w:rsidP="00A224F1">
            <w:pPr>
              <w:jc w:val="both"/>
              <w:rPr>
                <w:iCs/>
                <w:sz w:val="20"/>
                <w:szCs w:val="20"/>
                <w:lang w:val="uz-Cyrl-UZ"/>
              </w:rPr>
            </w:pPr>
            <w:r w:rsidRPr="009A4C67">
              <w:rPr>
                <w:rFonts w:cs="Arial"/>
                <w:sz w:val="20"/>
                <w:szCs w:val="20"/>
                <w:lang w:val="uz-Cyrl-UZ"/>
              </w:rPr>
              <w:t>Настајање универзалног поретка у духу владавине права – отворени процес разрешења односа између права и силе</w:t>
            </w:r>
          </w:p>
        </w:tc>
      </w:tr>
      <w:tr w:rsidR="00A224F1" w:rsidRPr="00490ACB" w14:paraId="4FCC42AE" w14:textId="77777777" w:rsidTr="00A224F1">
        <w:tc>
          <w:tcPr>
            <w:tcW w:w="8856" w:type="dxa"/>
            <w:gridSpan w:val="3"/>
          </w:tcPr>
          <w:p w14:paraId="10A83813" w14:textId="77777777" w:rsidR="00A224F1" w:rsidRPr="00A224F1" w:rsidRDefault="00A224F1" w:rsidP="00A224F1">
            <w:pPr>
              <w:jc w:val="both"/>
              <w:rPr>
                <w:b/>
                <w:bCs/>
                <w:sz w:val="20"/>
                <w:szCs w:val="20"/>
                <w:lang w:val="sr-Latn-CS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 xml:space="preserve">Препоручена литература </w:t>
            </w:r>
          </w:p>
          <w:p w14:paraId="207BFE01" w14:textId="77777777" w:rsidR="00A224F1" w:rsidRPr="00A224F1" w:rsidRDefault="00A224F1" w:rsidP="00A224F1">
            <w:pPr>
              <w:jc w:val="both"/>
              <w:rPr>
                <w:sz w:val="20"/>
                <w:szCs w:val="20"/>
                <w:lang w:val="uz-Cyrl-UZ"/>
              </w:rPr>
            </w:pPr>
            <w:proofErr w:type="spellStart"/>
            <w:r w:rsidRPr="00A224F1">
              <w:rPr>
                <w:sz w:val="20"/>
                <w:szCs w:val="20"/>
              </w:rPr>
              <w:t>Nollkaemper</w:t>
            </w:r>
            <w:proofErr w:type="spellEnd"/>
            <w:r w:rsidRPr="00A224F1">
              <w:rPr>
                <w:sz w:val="20"/>
                <w:szCs w:val="20"/>
              </w:rPr>
              <w:t xml:space="preserve">, A., National Court and the International Rule of Law, Oxford University Press, 2011; </w:t>
            </w:r>
            <w:proofErr w:type="spellStart"/>
            <w:r w:rsidRPr="00A224F1">
              <w:rPr>
                <w:sz w:val="20"/>
                <w:szCs w:val="20"/>
              </w:rPr>
              <w:t>McCorquodale</w:t>
            </w:r>
            <w:proofErr w:type="spellEnd"/>
            <w:r w:rsidRPr="00A224F1">
              <w:rPr>
                <w:sz w:val="20"/>
                <w:szCs w:val="20"/>
              </w:rPr>
              <w:t xml:space="preserve">, The Rule </w:t>
            </w:r>
            <w:proofErr w:type="gramStart"/>
            <w:r w:rsidRPr="00A224F1">
              <w:rPr>
                <w:sz w:val="20"/>
                <w:szCs w:val="20"/>
              </w:rPr>
              <w:t>of  law</w:t>
            </w:r>
            <w:proofErr w:type="gramEnd"/>
            <w:r w:rsidRPr="00A224F1">
              <w:rPr>
                <w:sz w:val="20"/>
                <w:szCs w:val="20"/>
              </w:rPr>
              <w:t xml:space="preserve"> in  international and comparative context, 2010; </w:t>
            </w:r>
            <w:proofErr w:type="spellStart"/>
            <w:r w:rsidRPr="00A224F1">
              <w:rPr>
                <w:sz w:val="20"/>
                <w:szCs w:val="20"/>
              </w:rPr>
              <w:t>Brownlie</w:t>
            </w:r>
            <w:proofErr w:type="spellEnd"/>
            <w:r w:rsidRPr="00A224F1">
              <w:rPr>
                <w:sz w:val="20"/>
                <w:szCs w:val="20"/>
              </w:rPr>
              <w:t xml:space="preserve">, J, The rule of law in  international a affaires, </w:t>
            </w:r>
            <w:proofErr w:type="spellStart"/>
            <w:r w:rsidRPr="00A224F1">
              <w:rPr>
                <w:sz w:val="20"/>
                <w:szCs w:val="20"/>
              </w:rPr>
              <w:t>Martinus</w:t>
            </w:r>
            <w:proofErr w:type="spellEnd"/>
            <w:r w:rsidRPr="00A224F1">
              <w:rPr>
                <w:sz w:val="20"/>
                <w:szCs w:val="20"/>
              </w:rPr>
              <w:t xml:space="preserve"> </w:t>
            </w:r>
            <w:proofErr w:type="spellStart"/>
            <w:r w:rsidRPr="00A224F1">
              <w:rPr>
                <w:sz w:val="20"/>
                <w:szCs w:val="20"/>
              </w:rPr>
              <w:t>Nijhoff</w:t>
            </w:r>
            <w:proofErr w:type="spellEnd"/>
            <w:r w:rsidRPr="00A224F1">
              <w:rPr>
                <w:sz w:val="20"/>
                <w:szCs w:val="20"/>
              </w:rPr>
              <w:t xml:space="preserve"> Publisher 1998,  </w:t>
            </w:r>
            <w:r w:rsidRPr="00A224F1">
              <w:rPr>
                <w:sz w:val="20"/>
                <w:szCs w:val="20"/>
                <w:lang w:val="uz-Cyrl-UZ"/>
              </w:rPr>
              <w:t xml:space="preserve">Piana, D, Judicial Accountabilities in the new Europe: From Rule of Law to Quality of Justice, 2010, ASHGATE; Bulmer, S, Lequesne, C, The Member States of European Union, 2013, Oxford University Press; Bogdandy, A. von, Bast, J, Principles of European Constitutional Law, Habermas, J., The Crisis of the European Union: </w:t>
            </w:r>
            <w:r>
              <w:rPr>
                <w:sz w:val="20"/>
                <w:szCs w:val="20"/>
                <w:lang w:val="uz-Cyrl-UZ"/>
              </w:rPr>
              <w:t>A Response, 2012, Polity Press.</w:t>
            </w:r>
          </w:p>
        </w:tc>
      </w:tr>
      <w:tr w:rsidR="00A224F1" w:rsidRPr="005469AA" w14:paraId="7F5100E1" w14:textId="77777777" w:rsidTr="00A224F1">
        <w:tc>
          <w:tcPr>
            <w:tcW w:w="3085" w:type="dxa"/>
          </w:tcPr>
          <w:p w14:paraId="6A26F0A3" w14:textId="77777777" w:rsidR="00A224F1" w:rsidRPr="00A224F1" w:rsidRDefault="00A224F1" w:rsidP="00DD0B5E">
            <w:pPr>
              <w:rPr>
                <w:bCs/>
                <w:sz w:val="20"/>
                <w:szCs w:val="20"/>
                <w:lang w:val="sr-Cyrl-CS"/>
              </w:rPr>
            </w:pPr>
            <w:r w:rsidRPr="00A224F1">
              <w:rPr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224F1">
              <w:rPr>
                <w:sz w:val="20"/>
                <w:szCs w:val="20"/>
                <w:lang w:val="sr-Cyrl-CS"/>
              </w:rPr>
              <w:t xml:space="preserve"> активне наставе</w:t>
            </w:r>
            <w:r>
              <w:rPr>
                <w:sz w:val="20"/>
                <w:szCs w:val="20"/>
                <w:lang w:val="sr-Cyrl-CS"/>
              </w:rPr>
              <w:t>: 7</w:t>
            </w:r>
          </w:p>
        </w:tc>
        <w:tc>
          <w:tcPr>
            <w:tcW w:w="2232" w:type="dxa"/>
          </w:tcPr>
          <w:p w14:paraId="72EA9ED7" w14:textId="77777777" w:rsidR="00A224F1" w:rsidRPr="00A224F1" w:rsidRDefault="00A224F1" w:rsidP="00DD0B5E">
            <w:pPr>
              <w:rPr>
                <w:sz w:val="20"/>
                <w:szCs w:val="20"/>
                <w:lang w:val="uz-Cyrl-UZ"/>
              </w:rPr>
            </w:pPr>
            <w:proofErr w:type="spellStart"/>
            <w:r w:rsidRPr="00A224F1">
              <w:rPr>
                <w:sz w:val="20"/>
                <w:szCs w:val="20"/>
              </w:rPr>
              <w:t>предавања</w:t>
            </w:r>
            <w:proofErr w:type="spellEnd"/>
            <w:r w:rsidRPr="00A224F1">
              <w:rPr>
                <w:sz w:val="20"/>
                <w:szCs w:val="20"/>
                <w:lang w:val="sr-Cyrl-CS"/>
              </w:rPr>
              <w:t>:</w:t>
            </w:r>
            <w:r w:rsidRPr="00A224F1">
              <w:rPr>
                <w:sz w:val="20"/>
                <w:szCs w:val="20"/>
                <w:lang w:val="sr-Latn-CS"/>
              </w:rPr>
              <w:t xml:space="preserve"> </w:t>
            </w:r>
            <w:r>
              <w:rPr>
                <w:sz w:val="20"/>
                <w:szCs w:val="20"/>
                <w:lang w:val="uz-Cyrl-UZ"/>
              </w:rPr>
              <w:t>4</w:t>
            </w:r>
          </w:p>
        </w:tc>
        <w:tc>
          <w:tcPr>
            <w:tcW w:w="3539" w:type="dxa"/>
          </w:tcPr>
          <w:p w14:paraId="2DDC8116" w14:textId="77777777" w:rsidR="00A224F1" w:rsidRPr="00A224F1" w:rsidRDefault="00A224F1" w:rsidP="00DD0B5E">
            <w:pPr>
              <w:rPr>
                <w:bCs/>
                <w:sz w:val="20"/>
                <w:szCs w:val="20"/>
                <w:lang w:val="sr-Cyrl-CS"/>
              </w:rPr>
            </w:pPr>
            <w:proofErr w:type="spellStart"/>
            <w:r w:rsidRPr="00A224F1">
              <w:rPr>
                <w:sz w:val="20"/>
                <w:szCs w:val="20"/>
              </w:rPr>
              <w:t>Студијски</w:t>
            </w:r>
            <w:proofErr w:type="spellEnd"/>
            <w:r w:rsidRPr="00A224F1">
              <w:rPr>
                <w:sz w:val="20"/>
                <w:szCs w:val="20"/>
              </w:rPr>
              <w:t xml:space="preserve"> </w:t>
            </w:r>
            <w:proofErr w:type="spellStart"/>
            <w:r w:rsidRPr="00A224F1">
              <w:rPr>
                <w:sz w:val="20"/>
                <w:szCs w:val="20"/>
              </w:rPr>
              <w:t>истраживачки</w:t>
            </w:r>
            <w:proofErr w:type="spellEnd"/>
            <w:r w:rsidRPr="00A224F1">
              <w:rPr>
                <w:sz w:val="20"/>
                <w:szCs w:val="20"/>
              </w:rPr>
              <w:t xml:space="preserve"> </w:t>
            </w:r>
            <w:proofErr w:type="spellStart"/>
            <w:r w:rsidRPr="00A224F1">
              <w:rPr>
                <w:sz w:val="20"/>
                <w:szCs w:val="20"/>
              </w:rPr>
              <w:t>рад</w:t>
            </w:r>
            <w:proofErr w:type="spellEnd"/>
            <w:r w:rsidRPr="00A224F1">
              <w:rPr>
                <w:sz w:val="20"/>
                <w:szCs w:val="20"/>
                <w:lang w:val="ru-RU"/>
              </w:rPr>
              <w:t>:</w:t>
            </w:r>
            <w:r>
              <w:rPr>
                <w:sz w:val="20"/>
                <w:szCs w:val="20"/>
                <w:lang w:val="ru-RU"/>
              </w:rPr>
              <w:t xml:space="preserve"> 3</w:t>
            </w:r>
          </w:p>
        </w:tc>
      </w:tr>
      <w:tr w:rsidR="00A224F1" w:rsidRPr="00490ACB" w14:paraId="18C78C7E" w14:textId="77777777" w:rsidTr="00A224F1">
        <w:tc>
          <w:tcPr>
            <w:tcW w:w="8856" w:type="dxa"/>
            <w:gridSpan w:val="3"/>
          </w:tcPr>
          <w:p w14:paraId="619BBA69" w14:textId="77777777" w:rsidR="00A224F1" w:rsidRPr="00A224F1" w:rsidRDefault="00A224F1" w:rsidP="00DD0B5E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E4B45F5" w14:textId="77777777" w:rsidR="00A224F1" w:rsidRPr="00A224F1" w:rsidRDefault="00A224F1" w:rsidP="00A224F1">
            <w:pPr>
              <w:jc w:val="both"/>
              <w:rPr>
                <w:sz w:val="20"/>
                <w:szCs w:val="20"/>
                <w:lang w:val="sr-Cyrl-CS"/>
              </w:rPr>
            </w:pPr>
            <w:r w:rsidRPr="00A224F1">
              <w:rPr>
                <w:noProof/>
                <w:sz w:val="20"/>
                <w:szCs w:val="20"/>
                <w:lang w:val="pl-PL"/>
              </w:rPr>
              <w:t>Предавања, студијски истраживачки рад, есеј, студија случаја, симулација, консултације</w:t>
            </w:r>
          </w:p>
        </w:tc>
      </w:tr>
      <w:tr w:rsidR="00A224F1" w:rsidRPr="008771C1" w14:paraId="2196DB08" w14:textId="77777777" w:rsidTr="00A224F1">
        <w:tc>
          <w:tcPr>
            <w:tcW w:w="8856" w:type="dxa"/>
            <w:gridSpan w:val="3"/>
          </w:tcPr>
          <w:p w14:paraId="3A657200" w14:textId="77777777" w:rsidR="00A224F1" w:rsidRPr="00A224F1" w:rsidRDefault="00A224F1" w:rsidP="00DD0B5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A224F1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  <w:p w14:paraId="60D334A0" w14:textId="77777777" w:rsidR="00A224F1" w:rsidRPr="00A224F1" w:rsidRDefault="00A224F1" w:rsidP="00A224F1">
            <w:pPr>
              <w:rPr>
                <w:sz w:val="20"/>
                <w:szCs w:val="20"/>
                <w:lang w:val="sr-Cyrl-CS"/>
              </w:rPr>
            </w:pPr>
            <w:r w:rsidRPr="00A224F1">
              <w:rPr>
                <w:sz w:val="20"/>
                <w:szCs w:val="20"/>
                <w:lang w:val="sr-Cyrl-CS"/>
              </w:rPr>
              <w:t>Активност на настави: 20; Семинарски рад: 20 или Презентација пројекта: 20; Есеј: 10; Завршни испит: 50</w:t>
            </w:r>
          </w:p>
        </w:tc>
      </w:tr>
    </w:tbl>
    <w:p w14:paraId="335D93E1" w14:textId="77777777" w:rsidR="00A50B4F" w:rsidRPr="00A224F1" w:rsidRDefault="00A50B4F">
      <w:pPr>
        <w:rPr>
          <w:lang w:val="ru-RU"/>
        </w:rPr>
      </w:pPr>
      <w:bookmarkStart w:id="0" w:name="_GoBack"/>
      <w:bookmarkEnd w:id="0"/>
    </w:p>
    <w:sectPr w:rsidR="00A50B4F" w:rsidRPr="00A224F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8D799" w14:textId="77777777" w:rsidR="00F96B2E" w:rsidRDefault="00F96B2E" w:rsidP="00A224F1">
      <w:r>
        <w:separator/>
      </w:r>
    </w:p>
  </w:endnote>
  <w:endnote w:type="continuationSeparator" w:id="0">
    <w:p w14:paraId="1252B23F" w14:textId="77777777" w:rsidR="00F96B2E" w:rsidRDefault="00F96B2E" w:rsidP="00A2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EEDA4" w14:textId="77777777" w:rsidR="00F96B2E" w:rsidRDefault="00F96B2E" w:rsidP="00A224F1">
      <w:r>
        <w:separator/>
      </w:r>
    </w:p>
  </w:footnote>
  <w:footnote w:type="continuationSeparator" w:id="0">
    <w:p w14:paraId="70CE990A" w14:textId="77777777" w:rsidR="00F96B2E" w:rsidRDefault="00F96B2E" w:rsidP="00A2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02FAB"/>
    <w:multiLevelType w:val="hybridMultilevel"/>
    <w:tmpl w:val="63C4D16C"/>
    <w:lvl w:ilvl="0" w:tplc="081A0001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170"/>
    <w:rsid w:val="00051AAB"/>
    <w:rsid w:val="00170170"/>
    <w:rsid w:val="00556FA5"/>
    <w:rsid w:val="00685454"/>
    <w:rsid w:val="008771C1"/>
    <w:rsid w:val="009A4C67"/>
    <w:rsid w:val="00A224F1"/>
    <w:rsid w:val="00A50B4F"/>
    <w:rsid w:val="00B44F7B"/>
    <w:rsid w:val="00DB6EBF"/>
    <w:rsid w:val="00F9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z-Cyrl-U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8E765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4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4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24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4F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4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4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24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4F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587</Words>
  <Characters>3349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Nemanja Dzuverovic</cp:lastModifiedBy>
  <cp:revision>6</cp:revision>
  <dcterms:created xsi:type="dcterms:W3CDTF">2013-11-12T19:19:00Z</dcterms:created>
  <dcterms:modified xsi:type="dcterms:W3CDTF">2013-12-16T13:46:00Z</dcterms:modified>
</cp:coreProperties>
</file>